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1469B" w:rsidP="00914A4C">
      <w:pPr>
        <w:pStyle w:val="0"/>
        <w:rPr>
          <w:sz w:val="20"/>
          <w:szCs w:val="20"/>
        </w:rPr>
      </w:pPr>
      <w:r>
        <w:rPr>
          <w:sz w:val="20"/>
          <w:szCs w:val="20"/>
          <w:lang w:val="en-US"/>
        </w:rPr>
        <w:t>I</w:t>
      </w:r>
      <w:r w:rsidR="00B278C8">
        <w:rPr>
          <w:sz w:val="20"/>
          <w:szCs w:val="20"/>
          <w:lang w:val="en-US"/>
        </w:rPr>
        <w:t>V</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B278C8" w:rsidP="001D575E">
      <w:pPr>
        <w:pStyle w:val="0"/>
        <w:spacing w:line="276" w:lineRule="auto"/>
        <w:rPr>
          <w:sz w:val="22"/>
          <w:szCs w:val="20"/>
        </w:rPr>
      </w:pPr>
      <w:r w:rsidRPr="00B278C8">
        <w:rPr>
          <w:sz w:val="22"/>
          <w:szCs w:val="20"/>
        </w:rPr>
        <w:t>28</w:t>
      </w:r>
      <w:r w:rsidR="006C5747" w:rsidRPr="00C06135">
        <w:rPr>
          <w:sz w:val="22"/>
          <w:szCs w:val="20"/>
        </w:rPr>
        <w:t xml:space="preserve"> </w:t>
      </w:r>
      <w:r>
        <w:rPr>
          <w:sz w:val="22"/>
          <w:szCs w:val="20"/>
        </w:rPr>
        <w:t>СЕНТЯБРЯ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B278C8">
        <w:rPr>
          <w:b w:val="0"/>
          <w:i/>
          <w:sz w:val="19"/>
          <w:szCs w:val="19"/>
        </w:rPr>
        <w:t>28</w:t>
      </w:r>
      <w:r w:rsidR="001D575E" w:rsidRPr="00526EF0">
        <w:rPr>
          <w:b w:val="0"/>
          <w:i/>
          <w:sz w:val="19"/>
          <w:szCs w:val="19"/>
        </w:rPr>
        <w:t xml:space="preserve"> </w:t>
      </w:r>
      <w:r w:rsidR="00B278C8">
        <w:rPr>
          <w:b w:val="0"/>
          <w:i/>
          <w:sz w:val="19"/>
          <w:szCs w:val="19"/>
        </w:rPr>
        <w:t>сентября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B278C8">
        <w:rPr>
          <w:b/>
          <w:caps/>
          <w:color w:val="FF0000"/>
          <w:spacing w:val="-2"/>
          <w:sz w:val="19"/>
          <w:szCs w:val="19"/>
        </w:rPr>
        <w:t>28</w:t>
      </w:r>
      <w:r w:rsidR="00D34390" w:rsidRPr="00983490">
        <w:rPr>
          <w:b/>
          <w:caps/>
          <w:color w:val="FF0000"/>
          <w:spacing w:val="-2"/>
          <w:sz w:val="19"/>
          <w:szCs w:val="19"/>
        </w:rPr>
        <w:t xml:space="preserve"> </w:t>
      </w:r>
      <w:r w:rsidR="00B278C8" w:rsidRPr="00B278C8">
        <w:rPr>
          <w:b/>
          <w:color w:val="FF0000"/>
          <w:spacing w:val="-2"/>
          <w:sz w:val="19"/>
          <w:szCs w:val="19"/>
        </w:rPr>
        <w:t>сентября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B278C8">
        <w:rPr>
          <w:spacing w:val="-2"/>
          <w:sz w:val="19"/>
          <w:szCs w:val="19"/>
        </w:rPr>
        <w:t>3</w:t>
      </w:r>
      <w:r w:rsidRPr="00C106DA">
        <w:rPr>
          <w:spacing w:val="-2"/>
          <w:sz w:val="19"/>
          <w:szCs w:val="19"/>
        </w:rPr>
        <w:t xml:space="preserve"> </w:t>
      </w:r>
      <w:r w:rsidR="00B278C8">
        <w:rPr>
          <w:spacing w:val="-2"/>
          <w:sz w:val="19"/>
          <w:szCs w:val="19"/>
        </w:rPr>
        <w:t>октября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B278C8">
        <w:rPr>
          <w:sz w:val="19"/>
          <w:szCs w:val="19"/>
        </w:rPr>
        <w:t>9</w:t>
      </w:r>
      <w:r w:rsidRPr="002B63DC">
        <w:rPr>
          <w:sz w:val="19"/>
          <w:szCs w:val="19"/>
        </w:rPr>
        <w:t>-</w:t>
      </w:r>
      <w:r w:rsidR="00B278C8">
        <w:rPr>
          <w:sz w:val="19"/>
          <w:szCs w:val="19"/>
        </w:rPr>
        <w:t>31</w:t>
      </w:r>
      <w:r w:rsidRPr="002B63DC">
        <w:rPr>
          <w:sz w:val="19"/>
          <w:szCs w:val="19"/>
        </w:rPr>
        <w:t xml:space="preserve"> </w:t>
      </w:r>
      <w:r w:rsidR="00B278C8">
        <w:rPr>
          <w:sz w:val="19"/>
          <w:szCs w:val="19"/>
        </w:rPr>
        <w:t>октября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B278C8">
        <w:rPr>
          <w:b/>
          <w:color w:val="C00000"/>
          <w:sz w:val="19"/>
          <w:szCs w:val="19"/>
        </w:rPr>
        <w:t>28</w:t>
      </w:r>
      <w:r w:rsidRPr="00C40E29">
        <w:rPr>
          <w:b/>
          <w:color w:val="C00000"/>
          <w:sz w:val="19"/>
          <w:szCs w:val="19"/>
        </w:rPr>
        <w:t xml:space="preserve"> </w:t>
      </w:r>
      <w:r w:rsidR="00B278C8">
        <w:rPr>
          <w:b/>
          <w:color w:val="C00000"/>
          <w:sz w:val="19"/>
          <w:szCs w:val="19"/>
        </w:rPr>
        <w:t>сентября</w:t>
      </w:r>
      <w:bookmarkStart w:id="0" w:name="_GoBack"/>
      <w:bookmarkEnd w:id="0"/>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EE1991"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EE1991"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 xml:space="preserve">Электронный сборник по итогам конференции будет размещен на сайте </w:t>
      </w:r>
      <w:proofErr w:type="spellStart"/>
      <w:r w:rsidRPr="009C0583">
        <w:rPr>
          <w:sz w:val="19"/>
          <w:szCs w:val="19"/>
        </w:rPr>
        <w:t>eLibrary</w:t>
      </w:r>
      <w:proofErr w:type="spellEnd"/>
      <w:r w:rsidR="008B12AD" w:rsidRPr="008B12AD">
        <w:rPr>
          <w:sz w:val="19"/>
          <w:szCs w:val="19"/>
        </w:rPr>
        <w:t>.</w:t>
      </w:r>
      <w:proofErr w:type="spellStart"/>
      <w:r w:rsidR="008B12AD">
        <w:rPr>
          <w:sz w:val="19"/>
          <w:szCs w:val="19"/>
          <w:lang w:val="en-US"/>
        </w:rPr>
        <w:t>ru</w:t>
      </w:r>
      <w:proofErr w:type="spellEnd"/>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 xml:space="preserve">С 2018 года НЭБ </w:t>
      </w:r>
      <w:proofErr w:type="spellStart"/>
      <w:r w:rsidRPr="008B12AD">
        <w:rPr>
          <w:b/>
          <w:i/>
          <w:sz w:val="19"/>
          <w:szCs w:val="19"/>
        </w:rPr>
        <w:t>eLibrary</w:t>
      </w:r>
      <w:proofErr w:type="spellEnd"/>
      <w:r w:rsidR="00387E2B" w:rsidRPr="008B12AD">
        <w:rPr>
          <w:b/>
          <w:i/>
          <w:sz w:val="19"/>
          <w:szCs w:val="19"/>
        </w:rPr>
        <w:t>.</w:t>
      </w:r>
      <w:proofErr w:type="spellStart"/>
      <w:r w:rsidR="00387E2B" w:rsidRPr="008B12AD">
        <w:rPr>
          <w:b/>
          <w:i/>
          <w:sz w:val="19"/>
          <w:szCs w:val="19"/>
          <w:lang w:val="en-US"/>
        </w:rPr>
        <w:t>ru</w:t>
      </w:r>
      <w:proofErr w:type="spellEnd"/>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91" w:rsidRDefault="00EE1991" w:rsidP="00506597">
      <w:r>
        <w:separator/>
      </w:r>
    </w:p>
  </w:endnote>
  <w:endnote w:type="continuationSeparator" w:id="0">
    <w:p w:rsidR="00EE1991" w:rsidRDefault="00EE199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91" w:rsidRDefault="00EE1991" w:rsidP="00506597">
      <w:r>
        <w:separator/>
      </w:r>
    </w:p>
  </w:footnote>
  <w:footnote w:type="continuationSeparator" w:id="0">
    <w:p w:rsidR="00EE1991" w:rsidRDefault="00EE1991"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5C2FF-62EB-40E8-965F-F4D88DA3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10830</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41</cp:revision>
  <cp:lastPrinted>2014-10-14T06:14:00Z</cp:lastPrinted>
  <dcterms:created xsi:type="dcterms:W3CDTF">2017-09-02T16:03:00Z</dcterms:created>
  <dcterms:modified xsi:type="dcterms:W3CDTF">2018-08-28T08:28:00Z</dcterms:modified>
</cp:coreProperties>
</file>